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695174D2" w:rsidR="00D43F14" w:rsidRPr="008D6FC5" w:rsidRDefault="00772B1A"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3.4.2024</w:t>
      </w:r>
    </w:p>
    <w:p w14:paraId="15A3AF44"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8D6FC5"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8D6FC5">
        <w:rPr>
          <w:rFonts w:ascii="David" w:eastAsia="David" w:hAnsi="David" w:cs="David"/>
          <w:b/>
          <w:sz w:val="24"/>
          <w:szCs w:val="24"/>
          <w:rtl/>
        </w:rPr>
        <w:t>לכבוד</w:t>
      </w:r>
    </w:p>
    <w:p w14:paraId="7F8B8B6C"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משתתפי המכרז</w:t>
      </w:r>
    </w:p>
    <w:p w14:paraId="2770BAB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 xml:space="preserve">שלום רב, </w:t>
      </w:r>
    </w:p>
    <w:p w14:paraId="71D810ED"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4190535E" w:rsidR="00D43F14" w:rsidRPr="008D6FC5" w:rsidRDefault="009C6EFB" w:rsidP="00AA42C5">
      <w:pPr>
        <w:pBdr>
          <w:top w:val="nil"/>
          <w:left w:val="nil"/>
          <w:bottom w:val="nil"/>
          <w:right w:val="nil"/>
          <w:between w:val="nil"/>
        </w:pBdr>
        <w:bidi/>
        <w:ind w:firstLine="13"/>
        <w:jc w:val="center"/>
        <w:rPr>
          <w:rFonts w:ascii="David" w:eastAsia="David" w:hAnsi="David" w:cs="David"/>
          <w:bCs/>
          <w:sz w:val="28"/>
          <w:szCs w:val="28"/>
          <w:u w:val="single"/>
          <w:rtl/>
        </w:rPr>
      </w:pPr>
      <w:r w:rsidRPr="008D6FC5">
        <w:rPr>
          <w:rFonts w:ascii="David" w:eastAsia="David" w:hAnsi="David" w:cs="David"/>
          <w:bCs/>
          <w:sz w:val="28"/>
          <w:szCs w:val="28"/>
          <w:u w:val="single"/>
          <w:rtl/>
        </w:rPr>
        <w:t xml:space="preserve">הנדון:  תשובות לשאלות הבהרה </w:t>
      </w:r>
      <w:r w:rsidR="00177AFE" w:rsidRPr="008D6FC5">
        <w:rPr>
          <w:rFonts w:ascii="David" w:eastAsia="David" w:hAnsi="David" w:cs="David"/>
          <w:bCs/>
          <w:sz w:val="28"/>
          <w:szCs w:val="28"/>
          <w:u w:val="single"/>
          <w:rtl/>
        </w:rPr>
        <w:t>–</w:t>
      </w:r>
      <w:r w:rsidR="003A0963" w:rsidRPr="008D6FC5">
        <w:rPr>
          <w:u w:val="single"/>
          <w:rtl/>
        </w:rPr>
        <w:t xml:space="preserve"> </w:t>
      </w:r>
      <w:r w:rsidR="00772B1A" w:rsidRPr="00772B1A">
        <w:rPr>
          <w:rFonts w:ascii="David" w:eastAsia="David" w:hAnsi="David" w:cs="David"/>
          <w:bCs/>
          <w:sz w:val="28"/>
          <w:szCs w:val="28"/>
          <w:u w:val="single"/>
          <w:rtl/>
        </w:rPr>
        <w:t>מכרז פומבי מס' 09-2024 לביצוע תחקורים ביטחוניים עבור משרד המשפטים</w:t>
      </w:r>
    </w:p>
    <w:p w14:paraId="186EE458" w14:textId="77777777" w:rsidR="00D43F14" w:rsidRPr="008D6FC5"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5B1889A8"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בהתאם לסמכותה על פי מסמכי המכרז, לרבות </w:t>
      </w:r>
      <w:r w:rsidRPr="00772B1A">
        <w:rPr>
          <w:rFonts w:ascii="David" w:eastAsia="David" w:hAnsi="David" w:cs="David"/>
          <w:sz w:val="24"/>
          <w:szCs w:val="24"/>
          <w:rtl/>
        </w:rPr>
        <w:t xml:space="preserve">סעיף </w:t>
      </w:r>
      <w:r w:rsidR="003A0963" w:rsidRPr="00772B1A">
        <w:rPr>
          <w:rFonts w:ascii="David" w:eastAsia="David" w:hAnsi="David" w:cs="David" w:hint="cs"/>
          <w:sz w:val="24"/>
          <w:szCs w:val="24"/>
          <w:rtl/>
        </w:rPr>
        <w:t>1</w:t>
      </w:r>
      <w:r w:rsidR="00902343" w:rsidRPr="00772B1A">
        <w:rPr>
          <w:rFonts w:ascii="David" w:eastAsia="David" w:hAnsi="David" w:cs="David" w:hint="cs"/>
          <w:sz w:val="24"/>
          <w:szCs w:val="24"/>
          <w:rtl/>
        </w:rPr>
        <w:t>3</w:t>
      </w:r>
      <w:r w:rsidRPr="00772B1A">
        <w:rPr>
          <w:rFonts w:ascii="David" w:eastAsia="David" w:hAnsi="David" w:cs="David"/>
          <w:sz w:val="24"/>
          <w:szCs w:val="24"/>
          <w:rtl/>
        </w:rPr>
        <w:t xml:space="preserve"> למסמכי</w:t>
      </w:r>
      <w:r w:rsidRPr="008D6FC5">
        <w:rPr>
          <w:rFonts w:ascii="David" w:eastAsia="David" w:hAnsi="David" w:cs="David"/>
          <w:sz w:val="24"/>
          <w:szCs w:val="24"/>
          <w:rtl/>
        </w:rPr>
        <w:t xml:space="preserve"> המכרז, מתכבדת בזאת ועדת המכרזים ליתן הודעה למציעים בדבר שאלות שהועברו אל הוועדה בכתב </w:t>
      </w:r>
    </w:p>
    <w:p w14:paraId="74182808"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ותשובות ועדת המכרזים.</w:t>
      </w:r>
    </w:p>
    <w:p w14:paraId="5DC4B869"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כל ההבהרות בהודעה זו יחשבו לחלק בלתי נפרד ממסמכי המכרז.</w:t>
      </w:r>
    </w:p>
    <w:p w14:paraId="5EE37793"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8D6FC5"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8D6FC5"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rPr>
      </w:pPr>
    </w:p>
    <w:p w14:paraId="39642444" w14:textId="0AEF6219" w:rsidR="002F5E23" w:rsidRPr="008D6FC5"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5978" w:type="dxa"/>
        <w:tblLook w:val="04A0" w:firstRow="1" w:lastRow="0" w:firstColumn="1" w:lastColumn="0" w:noHBand="0" w:noVBand="1"/>
      </w:tblPr>
      <w:tblGrid>
        <w:gridCol w:w="810"/>
        <w:gridCol w:w="1405"/>
        <w:gridCol w:w="1405"/>
        <w:gridCol w:w="1715"/>
        <w:gridCol w:w="5187"/>
        <w:gridCol w:w="5456"/>
      </w:tblGrid>
      <w:tr w:rsidR="008D6FC5" w:rsidRPr="008D6FC5" w14:paraId="38201FB6" w14:textId="6315B63F" w:rsidTr="00902343">
        <w:trPr>
          <w:tblHeader/>
        </w:trPr>
        <w:tc>
          <w:tcPr>
            <w:tcW w:w="810" w:type="dxa"/>
            <w:shd w:val="clear" w:color="auto" w:fill="BFBFBF" w:themeFill="background1" w:themeFillShade="BF"/>
          </w:tcPr>
          <w:p w14:paraId="7473C3DE" w14:textId="75F9FB27" w:rsidR="003A0963" w:rsidRPr="008D6FC5" w:rsidRDefault="003A0963" w:rsidP="00254184">
            <w:pPr>
              <w:bidi/>
              <w:rPr>
                <w:rFonts w:ascii="David" w:hAnsi="David" w:cs="David"/>
                <w:sz w:val="24"/>
                <w:szCs w:val="24"/>
                <w:rtl/>
              </w:rPr>
            </w:pPr>
            <w:proofErr w:type="spellStart"/>
            <w:r w:rsidRPr="008D6FC5">
              <w:rPr>
                <w:rFonts w:ascii="David" w:hAnsi="David" w:cs="David"/>
                <w:sz w:val="24"/>
                <w:szCs w:val="24"/>
                <w:rtl/>
              </w:rPr>
              <w:t>מס"ד</w:t>
            </w:r>
            <w:proofErr w:type="spellEnd"/>
          </w:p>
        </w:tc>
        <w:tc>
          <w:tcPr>
            <w:tcW w:w="1405" w:type="dxa"/>
            <w:shd w:val="clear" w:color="auto" w:fill="BFBFBF" w:themeFill="background1" w:themeFillShade="BF"/>
          </w:tcPr>
          <w:p w14:paraId="2BDF22B0" w14:textId="2625AD57"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מסמך</w:t>
            </w:r>
          </w:p>
        </w:tc>
        <w:tc>
          <w:tcPr>
            <w:tcW w:w="1405" w:type="dxa"/>
            <w:shd w:val="clear" w:color="auto" w:fill="BFBFBF" w:themeFill="background1" w:themeFillShade="BF"/>
          </w:tcPr>
          <w:p w14:paraId="3003E9A6" w14:textId="77777777"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מספר</w:t>
            </w:r>
          </w:p>
          <w:p w14:paraId="58B94DEC" w14:textId="21274884"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סעיף במסמכי המכרז</w:t>
            </w:r>
          </w:p>
        </w:tc>
        <w:tc>
          <w:tcPr>
            <w:tcW w:w="1715" w:type="dxa"/>
            <w:shd w:val="clear" w:color="auto" w:fill="BFBFBF" w:themeFill="background1" w:themeFillShade="BF"/>
          </w:tcPr>
          <w:p w14:paraId="65B1C10E" w14:textId="23268E9B"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מספר עמוד</w:t>
            </w:r>
          </w:p>
        </w:tc>
        <w:tc>
          <w:tcPr>
            <w:tcW w:w="5187" w:type="dxa"/>
            <w:shd w:val="clear" w:color="auto" w:fill="BFBFBF" w:themeFill="background1" w:themeFillShade="BF"/>
          </w:tcPr>
          <w:p w14:paraId="56B35065" w14:textId="0B30AEE2"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שאלה</w:t>
            </w:r>
          </w:p>
        </w:tc>
        <w:tc>
          <w:tcPr>
            <w:tcW w:w="5456" w:type="dxa"/>
            <w:shd w:val="clear" w:color="auto" w:fill="BFBFBF" w:themeFill="background1" w:themeFillShade="BF"/>
          </w:tcPr>
          <w:p w14:paraId="52FD722A" w14:textId="72B268C2"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תשובה</w:t>
            </w:r>
          </w:p>
        </w:tc>
      </w:tr>
      <w:tr w:rsidR="00772B1A" w:rsidRPr="008D6FC5" w14:paraId="1FAC97FC" w14:textId="77777777" w:rsidTr="00902343">
        <w:trPr>
          <w:tblHeader/>
        </w:trPr>
        <w:tc>
          <w:tcPr>
            <w:tcW w:w="810" w:type="dxa"/>
            <w:shd w:val="clear" w:color="auto" w:fill="FFFFFF" w:themeFill="background1"/>
          </w:tcPr>
          <w:p w14:paraId="5F5A2CC3" w14:textId="110E1F30" w:rsidR="00772B1A" w:rsidRPr="008D6FC5" w:rsidRDefault="00772B1A" w:rsidP="00772B1A">
            <w:pPr>
              <w:pStyle w:val="a"/>
              <w:numPr>
                <w:ilvl w:val="0"/>
                <w:numId w:val="37"/>
              </w:numPr>
              <w:jc w:val="center"/>
              <w:rPr>
                <w:rFonts w:ascii="David" w:hAnsi="David" w:cs="David"/>
                <w:sz w:val="24"/>
                <w:rtl/>
              </w:rPr>
            </w:pPr>
            <w:bookmarkStart w:id="2" w:name="_Hlk163490102"/>
          </w:p>
        </w:tc>
        <w:tc>
          <w:tcPr>
            <w:tcW w:w="1405" w:type="dxa"/>
            <w:shd w:val="clear" w:color="auto" w:fill="FFFFFF" w:themeFill="background1"/>
          </w:tcPr>
          <w:p w14:paraId="750B576A" w14:textId="001DC807" w:rsidR="00772B1A" w:rsidRPr="008D6FC5" w:rsidRDefault="00772B1A" w:rsidP="00772B1A">
            <w:pPr>
              <w:bidi/>
              <w:spacing w:line="360" w:lineRule="auto"/>
              <w:rPr>
                <w:rFonts w:ascii="David" w:hAnsi="David" w:cs="David"/>
                <w:sz w:val="24"/>
                <w:szCs w:val="24"/>
                <w:rtl/>
              </w:rPr>
            </w:pPr>
            <w:r>
              <w:rPr>
                <w:rFonts w:ascii="David" w:hAnsi="David" w:cs="David" w:hint="cs"/>
                <w:sz w:val="24"/>
                <w:szCs w:val="24"/>
                <w:rtl/>
              </w:rPr>
              <w:t>מנגנון התמורה</w:t>
            </w:r>
          </w:p>
        </w:tc>
        <w:tc>
          <w:tcPr>
            <w:tcW w:w="1405" w:type="dxa"/>
            <w:shd w:val="clear" w:color="auto" w:fill="FFFFFF" w:themeFill="background1"/>
          </w:tcPr>
          <w:p w14:paraId="48E6C338" w14:textId="77777777" w:rsidR="00772B1A" w:rsidRPr="00772B1A" w:rsidRDefault="00772B1A" w:rsidP="00772B1A">
            <w:pPr>
              <w:jc w:val="center"/>
              <w:rPr>
                <w:rFonts w:ascii="David" w:hAnsi="David" w:cs="David"/>
                <w:sz w:val="24"/>
                <w:szCs w:val="24"/>
                <w:rtl/>
              </w:rPr>
            </w:pPr>
          </w:p>
          <w:p w14:paraId="11B68015" w14:textId="57DC2644"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12.3</w:t>
            </w:r>
          </w:p>
        </w:tc>
        <w:tc>
          <w:tcPr>
            <w:tcW w:w="1715" w:type="dxa"/>
            <w:shd w:val="clear" w:color="auto" w:fill="FFFFFF" w:themeFill="background1"/>
          </w:tcPr>
          <w:p w14:paraId="0FCB0561" w14:textId="77777777" w:rsidR="00772B1A" w:rsidRPr="00772B1A" w:rsidRDefault="00772B1A" w:rsidP="00772B1A">
            <w:pPr>
              <w:jc w:val="center"/>
              <w:rPr>
                <w:rFonts w:ascii="David" w:hAnsi="David" w:cs="David"/>
                <w:sz w:val="24"/>
                <w:szCs w:val="24"/>
                <w:rtl/>
              </w:rPr>
            </w:pPr>
          </w:p>
          <w:p w14:paraId="40408797" w14:textId="7A9A185A"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13</w:t>
            </w:r>
          </w:p>
        </w:tc>
        <w:tc>
          <w:tcPr>
            <w:tcW w:w="5187" w:type="dxa"/>
            <w:shd w:val="clear" w:color="auto" w:fill="FFFFFF" w:themeFill="background1"/>
          </w:tcPr>
          <w:p w14:paraId="3BC2EF67" w14:textId="77777777" w:rsidR="00772B1A" w:rsidRPr="00772B1A" w:rsidRDefault="00772B1A" w:rsidP="00772B1A">
            <w:pPr>
              <w:bidi/>
              <w:rPr>
                <w:rFonts w:ascii="David" w:hAnsi="David" w:cs="David"/>
                <w:sz w:val="24"/>
                <w:szCs w:val="24"/>
                <w:rtl/>
              </w:rPr>
            </w:pPr>
          </w:p>
          <w:p w14:paraId="40672121" w14:textId="77777777" w:rsidR="00772B1A" w:rsidRPr="00772B1A" w:rsidRDefault="00772B1A" w:rsidP="00772B1A">
            <w:pPr>
              <w:bidi/>
              <w:rPr>
                <w:rFonts w:ascii="David" w:hAnsi="David" w:cs="David"/>
                <w:sz w:val="24"/>
                <w:szCs w:val="24"/>
                <w:rtl/>
              </w:rPr>
            </w:pPr>
            <w:r w:rsidRPr="00772B1A">
              <w:rPr>
                <w:rFonts w:ascii="David" w:hAnsi="David" w:cs="David" w:hint="cs"/>
                <w:sz w:val="24"/>
                <w:szCs w:val="24"/>
                <w:rtl/>
              </w:rPr>
              <w:t>אי הגעה של מתוחקר ביום התחקיר מחייבת תשלום מלא עבור תחקיר</w:t>
            </w:r>
          </w:p>
          <w:p w14:paraId="6D17F811" w14:textId="71A716DA" w:rsidR="00772B1A" w:rsidRPr="008D6FC5" w:rsidRDefault="00772B1A" w:rsidP="00772B1A">
            <w:pPr>
              <w:bidi/>
              <w:spacing w:line="360" w:lineRule="auto"/>
              <w:rPr>
                <w:rFonts w:ascii="David" w:hAnsi="David" w:cs="David"/>
                <w:sz w:val="24"/>
                <w:szCs w:val="24"/>
                <w:rtl/>
              </w:rPr>
            </w:pPr>
          </w:p>
        </w:tc>
        <w:tc>
          <w:tcPr>
            <w:tcW w:w="5456" w:type="dxa"/>
            <w:shd w:val="clear" w:color="auto" w:fill="FFFFFF" w:themeFill="background1"/>
          </w:tcPr>
          <w:p w14:paraId="39C22849" w14:textId="77777777" w:rsidR="00075D59" w:rsidRDefault="00075D59" w:rsidP="00075D59">
            <w:pPr>
              <w:bidi/>
              <w:spacing w:line="360" w:lineRule="auto"/>
              <w:rPr>
                <w:rFonts w:ascii="David" w:hAnsi="David" w:cs="David"/>
                <w:sz w:val="24"/>
                <w:szCs w:val="24"/>
              </w:rPr>
            </w:pPr>
            <w:r>
              <w:rPr>
                <w:rFonts w:ascii="David" w:hAnsi="David" w:cs="David"/>
                <w:color w:val="000000"/>
                <w:sz w:val="24"/>
                <w:szCs w:val="24"/>
                <w:rtl/>
              </w:rPr>
              <w:t>הבקשה נדחית.</w:t>
            </w:r>
          </w:p>
          <w:p w14:paraId="68903EE0" w14:textId="77777777" w:rsidR="00075D59" w:rsidRPr="00075D59" w:rsidRDefault="00075D59" w:rsidP="00075D59">
            <w:pPr>
              <w:bidi/>
              <w:spacing w:line="360" w:lineRule="auto"/>
              <w:rPr>
                <w:rFonts w:ascii="David" w:hAnsi="David" w:cs="David"/>
                <w:sz w:val="24"/>
                <w:szCs w:val="24"/>
                <w:rtl/>
              </w:rPr>
            </w:pPr>
            <w:r>
              <w:rPr>
                <w:rFonts w:ascii="David" w:hAnsi="David" w:cs="David"/>
                <w:color w:val="000000"/>
                <w:sz w:val="24"/>
                <w:szCs w:val="24"/>
                <w:rtl/>
              </w:rPr>
              <w:t xml:space="preserve">סעיף 12.3 קובע כי "במידה והמשרד ביטל תחקיר בטווח של פחות מ- 24 שעות ממועד קיומו, המשרד ישלם 50% מעלות </w:t>
            </w:r>
            <w:r w:rsidRPr="00075D59">
              <w:rPr>
                <w:rFonts w:ascii="David" w:hAnsi="David" w:cs="David"/>
                <w:color w:val="000000"/>
                <w:sz w:val="24"/>
                <w:szCs w:val="24"/>
                <w:rtl/>
              </w:rPr>
              <w:t>התחקיר.</w:t>
            </w:r>
          </w:p>
          <w:p w14:paraId="4B949F35" w14:textId="00C906B9" w:rsidR="00772B1A" w:rsidRPr="008D6FC5" w:rsidRDefault="00075D59" w:rsidP="00075D59">
            <w:pPr>
              <w:bidi/>
              <w:spacing w:line="360" w:lineRule="auto"/>
              <w:rPr>
                <w:rFonts w:ascii="David" w:hAnsi="David" w:cs="David"/>
                <w:sz w:val="24"/>
                <w:szCs w:val="24"/>
                <w:rtl/>
              </w:rPr>
            </w:pPr>
            <w:r w:rsidRPr="00075D59">
              <w:rPr>
                <w:rFonts w:ascii="David" w:hAnsi="David" w:cs="David"/>
                <w:color w:val="000000"/>
                <w:sz w:val="24"/>
                <w:szCs w:val="24"/>
                <w:rtl/>
              </w:rPr>
              <w:t>למען הסר ספק יובהר שאי הגעת המתוחקר מבלי מתן הודעה מוקדמת פחות מ- 24 שעות ממועד קיום התחקיר תזכה את הספק ב- 50% מעלות התחקיר.</w:t>
            </w:r>
          </w:p>
        </w:tc>
      </w:tr>
      <w:bookmarkEnd w:id="2"/>
      <w:tr w:rsidR="00772B1A" w:rsidRPr="008D6FC5" w14:paraId="21C27413" w14:textId="77777777" w:rsidTr="00902343">
        <w:trPr>
          <w:tblHeader/>
        </w:trPr>
        <w:tc>
          <w:tcPr>
            <w:tcW w:w="810" w:type="dxa"/>
            <w:shd w:val="clear" w:color="auto" w:fill="FFFFFF" w:themeFill="background1"/>
          </w:tcPr>
          <w:p w14:paraId="722E255D" w14:textId="65CF3181"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5898172B" w14:textId="0216A23D" w:rsidR="00772B1A" w:rsidRPr="008D6FC5" w:rsidRDefault="00772B1A" w:rsidP="00772B1A">
            <w:pPr>
              <w:bidi/>
              <w:spacing w:line="360" w:lineRule="auto"/>
              <w:rPr>
                <w:rFonts w:ascii="David" w:hAnsi="David" w:cs="David"/>
                <w:sz w:val="24"/>
                <w:szCs w:val="24"/>
              </w:rPr>
            </w:pPr>
            <w:r>
              <w:rPr>
                <w:rFonts w:ascii="David" w:hAnsi="David" w:cs="David" w:hint="cs"/>
                <w:sz w:val="24"/>
                <w:szCs w:val="24"/>
                <w:rtl/>
              </w:rPr>
              <w:t>הגדרת מחירון אחיד לתשלום</w:t>
            </w:r>
          </w:p>
        </w:tc>
        <w:tc>
          <w:tcPr>
            <w:tcW w:w="1405" w:type="dxa"/>
            <w:shd w:val="clear" w:color="auto" w:fill="FFFFFF" w:themeFill="background1"/>
          </w:tcPr>
          <w:p w14:paraId="33B4E043" w14:textId="77777777" w:rsidR="00772B1A" w:rsidRPr="00772B1A" w:rsidRDefault="00772B1A" w:rsidP="00772B1A">
            <w:pPr>
              <w:rPr>
                <w:rFonts w:ascii="David" w:hAnsi="David" w:cs="David"/>
                <w:sz w:val="24"/>
                <w:szCs w:val="24"/>
                <w:rtl/>
              </w:rPr>
            </w:pPr>
          </w:p>
          <w:p w14:paraId="6E7456BF" w14:textId="3D0C30D9"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10.7.2.2</w:t>
            </w:r>
          </w:p>
        </w:tc>
        <w:tc>
          <w:tcPr>
            <w:tcW w:w="1715" w:type="dxa"/>
            <w:shd w:val="clear" w:color="auto" w:fill="FFFFFF" w:themeFill="background1"/>
          </w:tcPr>
          <w:p w14:paraId="04A524CB" w14:textId="77777777" w:rsidR="00772B1A" w:rsidRPr="00772B1A" w:rsidRDefault="00772B1A" w:rsidP="00772B1A">
            <w:pPr>
              <w:rPr>
                <w:rFonts w:ascii="David" w:hAnsi="David" w:cs="David"/>
                <w:sz w:val="24"/>
                <w:szCs w:val="24"/>
                <w:rtl/>
              </w:rPr>
            </w:pPr>
          </w:p>
          <w:p w14:paraId="09A1592B" w14:textId="4E812908"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11</w:t>
            </w:r>
          </w:p>
        </w:tc>
        <w:tc>
          <w:tcPr>
            <w:tcW w:w="5187" w:type="dxa"/>
            <w:shd w:val="clear" w:color="auto" w:fill="FFFFFF" w:themeFill="background1"/>
          </w:tcPr>
          <w:p w14:paraId="4F6EB93E" w14:textId="77777777" w:rsidR="00772B1A" w:rsidRPr="00772B1A" w:rsidRDefault="00772B1A" w:rsidP="00772B1A">
            <w:pPr>
              <w:bidi/>
              <w:rPr>
                <w:rFonts w:ascii="David" w:hAnsi="David" w:cs="David"/>
                <w:sz w:val="24"/>
                <w:szCs w:val="24"/>
                <w:rtl/>
              </w:rPr>
            </w:pPr>
          </w:p>
          <w:p w14:paraId="65C55996" w14:textId="77777777" w:rsidR="00772B1A" w:rsidRPr="00772B1A" w:rsidRDefault="00772B1A" w:rsidP="00772B1A">
            <w:pPr>
              <w:bidi/>
              <w:rPr>
                <w:rFonts w:ascii="David" w:hAnsi="David" w:cs="David"/>
                <w:sz w:val="24"/>
                <w:szCs w:val="24"/>
                <w:rtl/>
              </w:rPr>
            </w:pPr>
            <w:r w:rsidRPr="00772B1A">
              <w:rPr>
                <w:rFonts w:ascii="David" w:hAnsi="David" w:cs="David" w:hint="cs"/>
                <w:sz w:val="24"/>
                <w:szCs w:val="24"/>
                <w:rtl/>
              </w:rPr>
              <w:t>מדוע ההצעה הזולה השניה במכרז היא הקובעת ולא ההצעה של כל מי שזוכה במכרז?</w:t>
            </w:r>
          </w:p>
          <w:p w14:paraId="52C40AB7" w14:textId="0E21C9AF" w:rsidR="00772B1A" w:rsidRPr="008D6FC5" w:rsidRDefault="00772B1A" w:rsidP="00772B1A">
            <w:pPr>
              <w:bidi/>
              <w:spacing w:line="360" w:lineRule="auto"/>
              <w:rPr>
                <w:rFonts w:ascii="David" w:hAnsi="David" w:cs="David"/>
                <w:sz w:val="24"/>
                <w:szCs w:val="24"/>
                <w:rtl/>
              </w:rPr>
            </w:pPr>
          </w:p>
        </w:tc>
        <w:tc>
          <w:tcPr>
            <w:tcW w:w="5456" w:type="dxa"/>
            <w:shd w:val="clear" w:color="auto" w:fill="FFFFFF" w:themeFill="background1"/>
          </w:tcPr>
          <w:p w14:paraId="45DBF13C" w14:textId="598A6AA8" w:rsidR="00772B1A" w:rsidRPr="00772B1A" w:rsidRDefault="00772B1A" w:rsidP="00772B1A">
            <w:pPr>
              <w:bidi/>
              <w:spacing w:line="360" w:lineRule="auto"/>
              <w:rPr>
                <w:rFonts w:ascii="David" w:hAnsi="David" w:cs="David"/>
                <w:sz w:val="24"/>
                <w:szCs w:val="24"/>
                <w:rtl/>
              </w:rPr>
            </w:pPr>
            <w:r w:rsidRPr="00772B1A">
              <w:rPr>
                <w:rFonts w:ascii="David" w:hAnsi="David" w:cs="David" w:hint="cs"/>
                <w:sz w:val="24"/>
                <w:szCs w:val="24"/>
                <w:rtl/>
              </w:rPr>
              <w:t>מנגנון של "מכרז מחיר שני"</w:t>
            </w:r>
            <w:r>
              <w:rPr>
                <w:rFonts w:ascii="David" w:hAnsi="David" w:cs="David" w:hint="cs"/>
                <w:sz w:val="24"/>
                <w:szCs w:val="24"/>
                <w:rtl/>
              </w:rPr>
              <w:t xml:space="preserve"> (או מכרז ויקרי)</w:t>
            </w:r>
            <w:r w:rsidRPr="00772B1A">
              <w:rPr>
                <w:rFonts w:ascii="David" w:hAnsi="David" w:cs="David" w:hint="cs"/>
                <w:sz w:val="24"/>
                <w:szCs w:val="24"/>
                <w:rtl/>
              </w:rPr>
              <w:t xml:space="preserve"> הוא מנגנון מקובל בתחום המכרזים. מדובר בהחלטה מקצועית של וועדת המכרזים. </w:t>
            </w:r>
          </w:p>
        </w:tc>
      </w:tr>
      <w:tr w:rsidR="00772B1A" w:rsidRPr="008D6FC5" w14:paraId="3E25ABCF" w14:textId="77777777" w:rsidTr="00EA4E0D">
        <w:trPr>
          <w:tblHeader/>
        </w:trPr>
        <w:tc>
          <w:tcPr>
            <w:tcW w:w="810" w:type="dxa"/>
            <w:shd w:val="clear" w:color="auto" w:fill="FFFFFF" w:themeFill="background1"/>
          </w:tcPr>
          <w:p w14:paraId="02A4612A" w14:textId="58AAFD20"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308FF97F" w14:textId="056716F5"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מנגנון התמורה</w:t>
            </w:r>
          </w:p>
        </w:tc>
        <w:tc>
          <w:tcPr>
            <w:tcW w:w="1405" w:type="dxa"/>
            <w:shd w:val="clear" w:color="auto" w:fill="FFFFFF" w:themeFill="background1"/>
            <w:vAlign w:val="center"/>
          </w:tcPr>
          <w:p w14:paraId="6B02BA6F" w14:textId="5EE85D50"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12.3</w:t>
            </w:r>
          </w:p>
        </w:tc>
        <w:tc>
          <w:tcPr>
            <w:tcW w:w="1715" w:type="dxa"/>
            <w:shd w:val="clear" w:color="auto" w:fill="FFFFFF" w:themeFill="background1"/>
            <w:vAlign w:val="center"/>
          </w:tcPr>
          <w:p w14:paraId="5EC718AA" w14:textId="1350BBA1" w:rsidR="00772B1A" w:rsidRPr="008D6FC5" w:rsidRDefault="00772B1A" w:rsidP="00772B1A">
            <w:pPr>
              <w:bidi/>
              <w:spacing w:line="360" w:lineRule="auto"/>
              <w:jc w:val="center"/>
              <w:rPr>
                <w:rFonts w:ascii="David" w:hAnsi="David" w:cs="David"/>
                <w:sz w:val="24"/>
                <w:szCs w:val="24"/>
                <w:rtl/>
              </w:rPr>
            </w:pPr>
            <w:r w:rsidRPr="00772B1A">
              <w:rPr>
                <w:rFonts w:ascii="David" w:hAnsi="David" w:cs="David" w:hint="cs"/>
                <w:sz w:val="24"/>
                <w:szCs w:val="24"/>
                <w:rtl/>
              </w:rPr>
              <w:t>13</w:t>
            </w:r>
          </w:p>
        </w:tc>
        <w:tc>
          <w:tcPr>
            <w:tcW w:w="5187" w:type="dxa"/>
            <w:shd w:val="clear" w:color="auto" w:fill="FFFFFF" w:themeFill="background1"/>
            <w:vAlign w:val="center"/>
          </w:tcPr>
          <w:p w14:paraId="6220FC9B" w14:textId="279EE669"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 xml:space="preserve">מקובל בכל הגופים ולכן יש להוסיף כי בגין ביטול תחקיר ביום התחקיר עצמו [לרבות הגעת המתחקר למקום ואי הופעת המתוחקר] ישולם תשלום מלא. </w:t>
            </w:r>
          </w:p>
        </w:tc>
        <w:tc>
          <w:tcPr>
            <w:tcW w:w="5456" w:type="dxa"/>
            <w:shd w:val="clear" w:color="auto" w:fill="FFFFFF" w:themeFill="background1"/>
          </w:tcPr>
          <w:p w14:paraId="2687ADDD" w14:textId="036F9919" w:rsidR="00772B1A" w:rsidRPr="008D6FC5" w:rsidRDefault="006206AC" w:rsidP="00772B1A">
            <w:pPr>
              <w:bidi/>
              <w:spacing w:line="360" w:lineRule="auto"/>
              <w:rPr>
                <w:rFonts w:ascii="David" w:hAnsi="David" w:cs="David"/>
                <w:sz w:val="24"/>
                <w:szCs w:val="24"/>
                <w:rtl/>
              </w:rPr>
            </w:pPr>
            <w:r>
              <w:rPr>
                <w:rFonts w:ascii="David" w:hAnsi="David" w:cs="David" w:hint="cs"/>
                <w:sz w:val="24"/>
                <w:szCs w:val="24"/>
                <w:rtl/>
              </w:rPr>
              <w:t>ראה תשובה לשאלה 1</w:t>
            </w:r>
          </w:p>
        </w:tc>
      </w:tr>
      <w:tr w:rsidR="00772B1A" w:rsidRPr="008D6FC5" w14:paraId="1BAF423C" w14:textId="77777777" w:rsidTr="008A27CD">
        <w:trPr>
          <w:tblHeader/>
        </w:trPr>
        <w:tc>
          <w:tcPr>
            <w:tcW w:w="810" w:type="dxa"/>
            <w:shd w:val="clear" w:color="auto" w:fill="FFFFFF" w:themeFill="background1"/>
          </w:tcPr>
          <w:p w14:paraId="463D0AB3" w14:textId="32BD979B"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6374F410" w14:textId="33F2E359" w:rsidR="00772B1A" w:rsidRPr="008D6FC5" w:rsidRDefault="00772B1A" w:rsidP="00772B1A">
            <w:pPr>
              <w:bidi/>
              <w:spacing w:line="360" w:lineRule="auto"/>
              <w:rPr>
                <w:rFonts w:ascii="David" w:hAnsi="David" w:cs="David"/>
                <w:sz w:val="24"/>
                <w:szCs w:val="24"/>
                <w:rtl/>
              </w:rPr>
            </w:pPr>
          </w:p>
        </w:tc>
        <w:tc>
          <w:tcPr>
            <w:tcW w:w="1405" w:type="dxa"/>
            <w:shd w:val="clear" w:color="auto" w:fill="FFFFFF" w:themeFill="background1"/>
          </w:tcPr>
          <w:p w14:paraId="2775B57A" w14:textId="0E85DC8D" w:rsidR="00772B1A" w:rsidRPr="008D6FC5" w:rsidRDefault="00772B1A" w:rsidP="00772B1A">
            <w:pPr>
              <w:bidi/>
              <w:spacing w:line="360" w:lineRule="auto"/>
              <w:jc w:val="center"/>
              <w:rPr>
                <w:rFonts w:ascii="David" w:hAnsi="David" w:cs="David"/>
                <w:sz w:val="24"/>
                <w:szCs w:val="24"/>
                <w:rtl/>
              </w:rPr>
            </w:pPr>
          </w:p>
        </w:tc>
        <w:tc>
          <w:tcPr>
            <w:tcW w:w="1715" w:type="dxa"/>
            <w:shd w:val="clear" w:color="auto" w:fill="FFFFFF" w:themeFill="background1"/>
          </w:tcPr>
          <w:p w14:paraId="7AEC95E7" w14:textId="11308C5F" w:rsidR="00772B1A" w:rsidRPr="008D6FC5" w:rsidRDefault="00772B1A" w:rsidP="00772B1A">
            <w:pPr>
              <w:bidi/>
              <w:spacing w:line="360" w:lineRule="auto"/>
              <w:jc w:val="center"/>
              <w:rPr>
                <w:rFonts w:ascii="David" w:hAnsi="David" w:cs="David"/>
                <w:sz w:val="24"/>
                <w:szCs w:val="24"/>
                <w:rtl/>
              </w:rPr>
            </w:pPr>
          </w:p>
        </w:tc>
        <w:tc>
          <w:tcPr>
            <w:tcW w:w="5187" w:type="dxa"/>
            <w:shd w:val="clear" w:color="auto" w:fill="FFFFFF" w:themeFill="background1"/>
            <w:vAlign w:val="center"/>
          </w:tcPr>
          <w:p w14:paraId="2EB0A774" w14:textId="15FA16B9"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 xml:space="preserve">מה מיקומו של חדר התחקירים? </w:t>
            </w:r>
          </w:p>
        </w:tc>
        <w:tc>
          <w:tcPr>
            <w:tcW w:w="5456" w:type="dxa"/>
            <w:shd w:val="clear" w:color="auto" w:fill="FFFFFF" w:themeFill="background1"/>
          </w:tcPr>
          <w:p w14:paraId="4A14D153" w14:textId="46096D63" w:rsidR="00772B1A" w:rsidRPr="008D6FC5" w:rsidRDefault="00512F04" w:rsidP="00A05944">
            <w:pPr>
              <w:bidi/>
              <w:spacing w:line="360" w:lineRule="auto"/>
              <w:rPr>
                <w:rFonts w:ascii="David" w:hAnsi="David" w:cs="David"/>
                <w:sz w:val="24"/>
                <w:szCs w:val="24"/>
                <w:highlight w:val="yellow"/>
                <w:rtl/>
              </w:rPr>
            </w:pPr>
            <w:r w:rsidRPr="00512F04">
              <w:rPr>
                <w:rFonts w:ascii="David" w:hAnsi="David" w:cs="David" w:hint="cs"/>
                <w:sz w:val="24"/>
                <w:szCs w:val="24"/>
                <w:rtl/>
              </w:rPr>
              <w:t xml:space="preserve">התחקירים יתבצעו בירושלים </w:t>
            </w:r>
            <w:proofErr w:type="spellStart"/>
            <w:r w:rsidRPr="00512F04">
              <w:rPr>
                <w:rFonts w:ascii="David" w:hAnsi="David" w:cs="David" w:hint="cs"/>
                <w:sz w:val="24"/>
                <w:szCs w:val="24"/>
                <w:rtl/>
              </w:rPr>
              <w:t>ובת''א</w:t>
            </w:r>
            <w:proofErr w:type="spellEnd"/>
            <w:r w:rsidRPr="00512F04">
              <w:rPr>
                <w:rFonts w:ascii="David" w:hAnsi="David" w:cs="David" w:hint="cs"/>
                <w:sz w:val="24"/>
                <w:szCs w:val="24"/>
                <w:rtl/>
              </w:rPr>
              <w:t xml:space="preserve"> </w:t>
            </w:r>
            <w:proofErr w:type="spellStart"/>
            <w:r w:rsidRPr="00512F04">
              <w:rPr>
                <w:rFonts w:ascii="David" w:hAnsi="David" w:cs="David" w:hint="cs"/>
                <w:sz w:val="24"/>
                <w:szCs w:val="24"/>
                <w:rtl/>
              </w:rPr>
              <w:t>ע''פ</w:t>
            </w:r>
            <w:proofErr w:type="spellEnd"/>
            <w:r w:rsidRPr="00512F04">
              <w:rPr>
                <w:rFonts w:ascii="David" w:hAnsi="David" w:cs="David" w:hint="cs"/>
                <w:sz w:val="24"/>
                <w:szCs w:val="24"/>
                <w:rtl/>
              </w:rPr>
              <w:t xml:space="preserve"> הצורך ובהתאם להחלטת </w:t>
            </w:r>
            <w:r>
              <w:rPr>
                <w:rFonts w:ascii="David" w:hAnsi="David" w:cs="David" w:hint="cs"/>
                <w:sz w:val="24"/>
                <w:szCs w:val="24"/>
                <w:rtl/>
              </w:rPr>
              <w:t>רכזת התאמה ביטחונית</w:t>
            </w:r>
            <w:r w:rsidRPr="00512F04">
              <w:rPr>
                <w:rFonts w:ascii="David" w:hAnsi="David" w:cs="David" w:hint="cs"/>
                <w:sz w:val="24"/>
                <w:szCs w:val="24"/>
                <w:rtl/>
              </w:rPr>
              <w:t xml:space="preserve"> </w:t>
            </w:r>
            <w:r>
              <w:rPr>
                <w:rFonts w:ascii="David" w:hAnsi="David" w:cs="David" w:hint="cs"/>
                <w:sz w:val="24"/>
                <w:szCs w:val="24"/>
                <w:rtl/>
              </w:rPr>
              <w:t>ב</w:t>
            </w:r>
            <w:r w:rsidRPr="00512F04">
              <w:rPr>
                <w:rFonts w:ascii="David" w:hAnsi="David" w:cs="David" w:hint="cs"/>
                <w:sz w:val="24"/>
                <w:szCs w:val="24"/>
                <w:rtl/>
              </w:rPr>
              <w:t>אגף הביטחון</w:t>
            </w:r>
          </w:p>
        </w:tc>
      </w:tr>
      <w:tr w:rsidR="00772B1A" w:rsidRPr="008D6FC5" w14:paraId="042E0C03" w14:textId="77777777" w:rsidTr="008A27CD">
        <w:trPr>
          <w:tblHeader/>
        </w:trPr>
        <w:tc>
          <w:tcPr>
            <w:tcW w:w="810" w:type="dxa"/>
            <w:shd w:val="clear" w:color="auto" w:fill="FFFFFF" w:themeFill="background1"/>
          </w:tcPr>
          <w:p w14:paraId="57ABA00B" w14:textId="2E6DED20"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62F6A5CE" w14:textId="2D3BA584" w:rsidR="00772B1A" w:rsidRPr="008D6FC5" w:rsidRDefault="00772B1A" w:rsidP="00772B1A">
            <w:pPr>
              <w:bidi/>
              <w:spacing w:line="360" w:lineRule="auto"/>
              <w:rPr>
                <w:rFonts w:ascii="David" w:hAnsi="David" w:cs="David"/>
                <w:sz w:val="24"/>
                <w:szCs w:val="24"/>
                <w:rtl/>
              </w:rPr>
            </w:pPr>
          </w:p>
        </w:tc>
        <w:tc>
          <w:tcPr>
            <w:tcW w:w="1405" w:type="dxa"/>
            <w:shd w:val="clear" w:color="auto" w:fill="FFFFFF" w:themeFill="background1"/>
          </w:tcPr>
          <w:p w14:paraId="7E4CF22A" w14:textId="3F9C8FCC" w:rsidR="00772B1A" w:rsidRPr="008D6FC5" w:rsidRDefault="00772B1A" w:rsidP="00772B1A">
            <w:pPr>
              <w:bidi/>
              <w:spacing w:line="360" w:lineRule="auto"/>
              <w:jc w:val="center"/>
              <w:rPr>
                <w:rFonts w:ascii="David" w:hAnsi="David" w:cs="David"/>
                <w:sz w:val="24"/>
                <w:szCs w:val="24"/>
                <w:rtl/>
              </w:rPr>
            </w:pPr>
          </w:p>
        </w:tc>
        <w:tc>
          <w:tcPr>
            <w:tcW w:w="1715" w:type="dxa"/>
            <w:shd w:val="clear" w:color="auto" w:fill="FFFFFF" w:themeFill="background1"/>
          </w:tcPr>
          <w:p w14:paraId="628BBCED" w14:textId="7C901C59" w:rsidR="00772B1A" w:rsidRPr="008D6FC5" w:rsidRDefault="00772B1A" w:rsidP="00772B1A">
            <w:pPr>
              <w:bidi/>
              <w:spacing w:line="360" w:lineRule="auto"/>
              <w:jc w:val="center"/>
              <w:rPr>
                <w:rFonts w:ascii="David" w:hAnsi="David" w:cs="David"/>
                <w:sz w:val="24"/>
                <w:szCs w:val="24"/>
                <w:rtl/>
              </w:rPr>
            </w:pPr>
          </w:p>
        </w:tc>
        <w:tc>
          <w:tcPr>
            <w:tcW w:w="5187" w:type="dxa"/>
            <w:shd w:val="clear" w:color="auto" w:fill="FFFFFF" w:themeFill="background1"/>
            <w:vAlign w:val="center"/>
          </w:tcPr>
          <w:p w14:paraId="603B3EB7" w14:textId="3646831C"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האם יש במתקן התחקירים מקום חניה לרכב המתחקר?</w:t>
            </w:r>
          </w:p>
        </w:tc>
        <w:tc>
          <w:tcPr>
            <w:tcW w:w="5456" w:type="dxa"/>
            <w:shd w:val="clear" w:color="auto" w:fill="FFFFFF" w:themeFill="background1"/>
          </w:tcPr>
          <w:p w14:paraId="2E9B1562" w14:textId="53624622" w:rsidR="00A05944" w:rsidRPr="004B53A0" w:rsidRDefault="00A05944" w:rsidP="00A05944">
            <w:pPr>
              <w:pStyle w:val="a"/>
              <w:numPr>
                <w:ilvl w:val="1"/>
                <w:numId w:val="39"/>
              </w:numPr>
              <w:spacing w:after="0"/>
              <w:ind w:left="0" w:firstLine="0"/>
              <w:contextualSpacing w:val="0"/>
              <w:rPr>
                <w:rFonts w:ascii="David" w:eastAsia="Calibri" w:hAnsi="David" w:cs="David"/>
                <w:sz w:val="24"/>
                <w:rtl/>
              </w:rPr>
            </w:pPr>
            <w:r w:rsidRPr="004B53A0">
              <w:rPr>
                <w:rFonts w:ascii="David" w:eastAsia="Calibri" w:hAnsi="David" w:cs="David" w:hint="cs"/>
                <w:sz w:val="24"/>
                <w:rtl/>
              </w:rPr>
              <w:t>סעיף 16.6 ''</w:t>
            </w:r>
            <w:r w:rsidRPr="004B53A0">
              <w:rPr>
                <w:rFonts w:ascii="David" w:eastAsia="Calibri" w:hAnsi="David" w:cs="David"/>
                <w:sz w:val="24"/>
                <w:rtl/>
              </w:rPr>
              <w:t xml:space="preserve"> הספק מתחייב לשאת על חשבונו בכל התשלומים החלים עליו מכוח הוראות כל דין או הסכם במסגרת מתן השירותים, ובהתאם לדרוש על פי כל דין, כאמור לעיל ומעבר לאמור בו ובכלל זה הוצאות משרדיות, נסיעות וכל תשלום הכרוך בשירות אשר לא הוחרג במפורש בהסכם זה או בנספחים לו.</w:t>
            </w:r>
            <w:r w:rsidRPr="004B53A0">
              <w:rPr>
                <w:rFonts w:ascii="David" w:eastAsia="Calibri" w:hAnsi="David" w:cs="David" w:hint="cs"/>
                <w:sz w:val="24"/>
                <w:rtl/>
              </w:rPr>
              <w:t>''</w:t>
            </w:r>
          </w:p>
          <w:p w14:paraId="5BE1E57E" w14:textId="71FCBF97" w:rsidR="00772B1A" w:rsidRPr="008D6FC5" w:rsidRDefault="00A05944" w:rsidP="00772B1A">
            <w:pPr>
              <w:bidi/>
              <w:spacing w:line="360" w:lineRule="auto"/>
              <w:rPr>
                <w:rFonts w:ascii="David" w:hAnsi="David" w:cs="David"/>
                <w:sz w:val="24"/>
                <w:szCs w:val="24"/>
                <w:rtl/>
              </w:rPr>
            </w:pPr>
            <w:r>
              <w:rPr>
                <w:rFonts w:ascii="David" w:hAnsi="David" w:cs="David" w:hint="cs"/>
                <w:sz w:val="24"/>
                <w:szCs w:val="24"/>
                <w:rtl/>
              </w:rPr>
              <w:t>אין הסדר עם חניה ו/או תשלום על נסיעות ו/או חניה</w:t>
            </w:r>
            <w:r w:rsidR="009A7EC3">
              <w:rPr>
                <w:rFonts w:ascii="David" w:hAnsi="David" w:cs="David" w:hint="cs"/>
                <w:sz w:val="24"/>
                <w:szCs w:val="24"/>
                <w:rtl/>
              </w:rPr>
              <w:t xml:space="preserve"> </w:t>
            </w:r>
          </w:p>
        </w:tc>
      </w:tr>
      <w:tr w:rsidR="00772B1A" w:rsidRPr="008D6FC5" w14:paraId="62789257" w14:textId="77777777" w:rsidTr="008A27CD">
        <w:trPr>
          <w:tblHeader/>
        </w:trPr>
        <w:tc>
          <w:tcPr>
            <w:tcW w:w="810" w:type="dxa"/>
            <w:shd w:val="clear" w:color="auto" w:fill="FFFFFF" w:themeFill="background1"/>
          </w:tcPr>
          <w:p w14:paraId="758F7E84" w14:textId="4A2EB9F8"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7766257B" w14:textId="1E7C800F" w:rsidR="00772B1A" w:rsidRPr="008D6FC5" w:rsidRDefault="00772B1A" w:rsidP="00772B1A">
            <w:pPr>
              <w:bidi/>
              <w:spacing w:line="360" w:lineRule="auto"/>
              <w:rPr>
                <w:rFonts w:ascii="David" w:hAnsi="David" w:cs="David"/>
                <w:sz w:val="24"/>
                <w:szCs w:val="24"/>
                <w:rtl/>
              </w:rPr>
            </w:pPr>
          </w:p>
        </w:tc>
        <w:tc>
          <w:tcPr>
            <w:tcW w:w="1405" w:type="dxa"/>
            <w:shd w:val="clear" w:color="auto" w:fill="FFFFFF" w:themeFill="background1"/>
          </w:tcPr>
          <w:p w14:paraId="51D30A2B" w14:textId="0A7AA79A" w:rsidR="00772B1A" w:rsidRPr="008D6FC5" w:rsidRDefault="00772B1A" w:rsidP="00772B1A">
            <w:pPr>
              <w:bidi/>
              <w:spacing w:line="360" w:lineRule="auto"/>
              <w:rPr>
                <w:rFonts w:ascii="David" w:hAnsi="David" w:cs="David"/>
                <w:sz w:val="24"/>
                <w:szCs w:val="24"/>
                <w:rtl/>
              </w:rPr>
            </w:pPr>
          </w:p>
        </w:tc>
        <w:tc>
          <w:tcPr>
            <w:tcW w:w="1715" w:type="dxa"/>
            <w:shd w:val="clear" w:color="auto" w:fill="FFFFFF" w:themeFill="background1"/>
          </w:tcPr>
          <w:p w14:paraId="78130259" w14:textId="24E54451" w:rsidR="00772B1A" w:rsidRPr="008D6FC5" w:rsidRDefault="00772B1A" w:rsidP="00772B1A">
            <w:pPr>
              <w:bidi/>
              <w:spacing w:line="360" w:lineRule="auto"/>
              <w:jc w:val="center"/>
              <w:rPr>
                <w:rFonts w:ascii="David" w:hAnsi="David" w:cs="David"/>
                <w:sz w:val="24"/>
                <w:szCs w:val="24"/>
                <w:rtl/>
              </w:rPr>
            </w:pPr>
          </w:p>
        </w:tc>
        <w:tc>
          <w:tcPr>
            <w:tcW w:w="5187" w:type="dxa"/>
            <w:shd w:val="clear" w:color="auto" w:fill="FFFFFF" w:themeFill="background1"/>
            <w:vAlign w:val="center"/>
          </w:tcPr>
          <w:p w14:paraId="6116345E" w14:textId="4A20A316"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אם אין מקום חניה- האם למשרד המשפטים יש הסדר חניה עם חניון קרוב שניתן יהיה להימנות עליו?</w:t>
            </w:r>
          </w:p>
        </w:tc>
        <w:tc>
          <w:tcPr>
            <w:tcW w:w="5456" w:type="dxa"/>
            <w:shd w:val="clear" w:color="auto" w:fill="FFFFFF" w:themeFill="background1"/>
          </w:tcPr>
          <w:p w14:paraId="2BE3EFF0" w14:textId="1AD3F029" w:rsidR="00772B1A" w:rsidRPr="008D6FC5" w:rsidRDefault="00A05944" w:rsidP="00772B1A">
            <w:pPr>
              <w:bidi/>
              <w:spacing w:line="360" w:lineRule="auto"/>
              <w:rPr>
                <w:rFonts w:ascii="David" w:hAnsi="David" w:cs="David"/>
                <w:sz w:val="24"/>
                <w:szCs w:val="24"/>
                <w:rtl/>
              </w:rPr>
            </w:pPr>
            <w:r>
              <w:rPr>
                <w:rFonts w:ascii="David" w:hAnsi="David" w:cs="David" w:hint="cs"/>
                <w:sz w:val="24"/>
                <w:szCs w:val="24"/>
                <w:rtl/>
              </w:rPr>
              <w:t>ישנם חניונים אזוריים/ כחול לבן</w:t>
            </w:r>
          </w:p>
        </w:tc>
      </w:tr>
      <w:tr w:rsidR="00772B1A" w:rsidRPr="008D6FC5" w14:paraId="004B9328" w14:textId="77777777" w:rsidTr="008A27CD">
        <w:trPr>
          <w:tblHeader/>
        </w:trPr>
        <w:tc>
          <w:tcPr>
            <w:tcW w:w="810" w:type="dxa"/>
            <w:shd w:val="clear" w:color="auto" w:fill="FFFFFF" w:themeFill="background1"/>
          </w:tcPr>
          <w:p w14:paraId="13674CBF" w14:textId="7DA134A9" w:rsidR="00772B1A" w:rsidRPr="008D6FC5" w:rsidRDefault="00772B1A" w:rsidP="00772B1A">
            <w:pPr>
              <w:pStyle w:val="a"/>
              <w:numPr>
                <w:ilvl w:val="0"/>
                <w:numId w:val="37"/>
              </w:numPr>
              <w:jc w:val="center"/>
              <w:rPr>
                <w:rFonts w:ascii="David" w:hAnsi="David" w:cs="David"/>
                <w:sz w:val="24"/>
                <w:rtl/>
              </w:rPr>
            </w:pPr>
          </w:p>
        </w:tc>
        <w:tc>
          <w:tcPr>
            <w:tcW w:w="1405" w:type="dxa"/>
            <w:shd w:val="clear" w:color="auto" w:fill="FFFFFF" w:themeFill="background1"/>
          </w:tcPr>
          <w:p w14:paraId="5A8766CA" w14:textId="5F44DC9D" w:rsidR="00772B1A" w:rsidRPr="008D6FC5" w:rsidRDefault="00772B1A" w:rsidP="00772B1A">
            <w:pPr>
              <w:bidi/>
              <w:spacing w:line="360" w:lineRule="auto"/>
              <w:rPr>
                <w:rFonts w:ascii="David" w:hAnsi="David" w:cs="David"/>
                <w:sz w:val="24"/>
                <w:szCs w:val="24"/>
                <w:rtl/>
              </w:rPr>
            </w:pPr>
          </w:p>
        </w:tc>
        <w:tc>
          <w:tcPr>
            <w:tcW w:w="1405" w:type="dxa"/>
            <w:shd w:val="clear" w:color="auto" w:fill="FFFFFF" w:themeFill="background1"/>
          </w:tcPr>
          <w:p w14:paraId="51323B38" w14:textId="6EBF5E6B" w:rsidR="00772B1A" w:rsidRPr="008D6FC5" w:rsidRDefault="00772B1A" w:rsidP="00772B1A">
            <w:pPr>
              <w:bidi/>
              <w:spacing w:line="360" w:lineRule="auto"/>
              <w:rPr>
                <w:rFonts w:ascii="David" w:hAnsi="David" w:cs="David"/>
                <w:sz w:val="24"/>
                <w:szCs w:val="24"/>
                <w:rtl/>
              </w:rPr>
            </w:pPr>
          </w:p>
        </w:tc>
        <w:tc>
          <w:tcPr>
            <w:tcW w:w="1715" w:type="dxa"/>
            <w:shd w:val="clear" w:color="auto" w:fill="FFFFFF" w:themeFill="background1"/>
          </w:tcPr>
          <w:p w14:paraId="2692EF7C" w14:textId="3EE19289" w:rsidR="00772B1A" w:rsidRPr="008D6FC5" w:rsidRDefault="00772B1A" w:rsidP="00772B1A">
            <w:pPr>
              <w:bidi/>
              <w:spacing w:line="360" w:lineRule="auto"/>
              <w:rPr>
                <w:rFonts w:ascii="David" w:hAnsi="David" w:cs="David"/>
                <w:sz w:val="24"/>
                <w:szCs w:val="24"/>
                <w:rtl/>
              </w:rPr>
            </w:pPr>
          </w:p>
        </w:tc>
        <w:tc>
          <w:tcPr>
            <w:tcW w:w="5187" w:type="dxa"/>
            <w:shd w:val="clear" w:color="auto" w:fill="FFFFFF" w:themeFill="background1"/>
            <w:vAlign w:val="center"/>
          </w:tcPr>
          <w:p w14:paraId="085DAE32" w14:textId="611D5BA1" w:rsidR="00772B1A" w:rsidRPr="008D6FC5" w:rsidRDefault="00772B1A" w:rsidP="00772B1A">
            <w:pPr>
              <w:bidi/>
              <w:spacing w:line="360" w:lineRule="auto"/>
              <w:rPr>
                <w:rFonts w:ascii="David" w:hAnsi="David" w:cs="David"/>
                <w:sz w:val="24"/>
                <w:szCs w:val="24"/>
                <w:rtl/>
              </w:rPr>
            </w:pPr>
            <w:r w:rsidRPr="00772B1A">
              <w:rPr>
                <w:rFonts w:ascii="David" w:hAnsi="David" w:cs="David" w:hint="cs"/>
                <w:sz w:val="24"/>
                <w:szCs w:val="24"/>
                <w:rtl/>
              </w:rPr>
              <w:t>אין תעודת מתחקר. יש להוריד הדרישה.</w:t>
            </w:r>
          </w:p>
        </w:tc>
        <w:tc>
          <w:tcPr>
            <w:tcW w:w="5456" w:type="dxa"/>
            <w:shd w:val="clear" w:color="auto" w:fill="FFFFFF" w:themeFill="background1"/>
          </w:tcPr>
          <w:p w14:paraId="75C7CD62" w14:textId="77777777" w:rsidR="004B53A0" w:rsidRDefault="004B53A0" w:rsidP="004B53A0">
            <w:pPr>
              <w:bidi/>
              <w:spacing w:line="360" w:lineRule="auto"/>
              <w:rPr>
                <w:rFonts w:ascii="David" w:hAnsi="David" w:cs="David"/>
                <w:sz w:val="24"/>
                <w:szCs w:val="24"/>
              </w:rPr>
            </w:pPr>
            <w:r>
              <w:rPr>
                <w:rFonts w:ascii="David" w:hAnsi="David" w:cs="David"/>
                <w:color w:val="000000"/>
                <w:sz w:val="24"/>
                <w:szCs w:val="24"/>
                <w:rtl/>
              </w:rPr>
              <w:t>הבקשה מתקבלת.</w:t>
            </w:r>
          </w:p>
          <w:p w14:paraId="0D1F1F4B" w14:textId="77777777" w:rsidR="004B53A0" w:rsidRDefault="004B53A0" w:rsidP="004B53A0">
            <w:pPr>
              <w:bidi/>
              <w:spacing w:line="360" w:lineRule="auto"/>
              <w:rPr>
                <w:rFonts w:ascii="David" w:hAnsi="David" w:cs="David"/>
                <w:sz w:val="24"/>
                <w:szCs w:val="24"/>
                <w:rtl/>
              </w:rPr>
            </w:pPr>
            <w:r>
              <w:rPr>
                <w:rFonts w:ascii="David" w:hAnsi="David" w:cs="David"/>
                <w:color w:val="000000"/>
                <w:sz w:val="24"/>
                <w:szCs w:val="24"/>
                <w:rtl/>
              </w:rPr>
              <w:t xml:space="preserve">המכרז מופנה למתחקרים תו תקן בעלי </w:t>
            </w:r>
            <w:bookmarkStart w:id="3" w:name="_Hlk163489909"/>
            <w:r>
              <w:rPr>
                <w:rFonts w:ascii="David" w:hAnsi="David" w:cs="David"/>
                <w:color w:val="000000"/>
                <w:sz w:val="24"/>
                <w:szCs w:val="24"/>
                <w:rtl/>
              </w:rPr>
              <w:t>הסמכה מהחטיבה להתאמה ביטחונית בשירות הביטחון הכללי.</w:t>
            </w:r>
          </w:p>
          <w:bookmarkEnd w:id="3"/>
          <w:p w14:paraId="0CF07881" w14:textId="7E0028EE" w:rsidR="006B0952" w:rsidRPr="008D6FC5" w:rsidRDefault="004B53A0" w:rsidP="004B53A0">
            <w:pPr>
              <w:bidi/>
              <w:spacing w:line="360" w:lineRule="auto"/>
              <w:rPr>
                <w:rFonts w:ascii="David" w:hAnsi="David" w:cs="David"/>
                <w:sz w:val="24"/>
                <w:szCs w:val="24"/>
                <w:rtl/>
              </w:rPr>
            </w:pPr>
            <w:r>
              <w:rPr>
                <w:rFonts w:ascii="David" w:hAnsi="David" w:cs="David"/>
                <w:color w:val="000000"/>
                <w:sz w:val="24"/>
                <w:szCs w:val="24"/>
                <w:rtl/>
              </w:rPr>
              <w:t>לאחר קבלת ההצעות יבדקו כלל המציעים מול שירות הביטחון הכללי ורק בעלי הסמכה בתוקף יעברו לשלב הבא. יובהר כי אישור שירות הביטחון הכללי מהווה תנאי סף למעבר לשלב הבא במכרז</w:t>
            </w:r>
          </w:p>
        </w:tc>
      </w:tr>
    </w:tbl>
    <w:p w14:paraId="4DD5BF8E" w14:textId="2160C326" w:rsidR="00AA0B27" w:rsidRPr="008D6FC5" w:rsidRDefault="00AA0B27" w:rsidP="00772B1A">
      <w:pPr>
        <w:rPr>
          <w:rFonts w:ascii="David" w:eastAsia="David" w:hAnsi="David" w:cs="David"/>
          <w:sz w:val="24"/>
          <w:szCs w:val="24"/>
        </w:rPr>
        <w:sectPr w:rsidR="00AA0B27" w:rsidRPr="008D6FC5" w:rsidSect="00582358">
          <w:headerReference w:type="default" r:id="rId7"/>
          <w:footerReference w:type="default" r:id="rId8"/>
          <w:pgSz w:w="16838" w:h="11906" w:orient="landscape"/>
          <w:pgMar w:top="1077" w:right="561" w:bottom="1134" w:left="289" w:header="0" w:footer="0" w:gutter="0"/>
          <w:pgNumType w:start="1"/>
          <w:cols w:space="720"/>
        </w:sectPr>
      </w:pPr>
    </w:p>
    <w:p w14:paraId="328D25D1" w14:textId="77777777" w:rsidR="002F5E23" w:rsidRPr="008D6FC5" w:rsidRDefault="002F5E23" w:rsidP="00AA0B27">
      <w:pPr>
        <w:bidi/>
        <w:rPr>
          <w:rFonts w:ascii="David" w:eastAsia="David" w:hAnsi="David" w:cs="David"/>
          <w:sz w:val="24"/>
          <w:szCs w:val="24"/>
          <w:rtl/>
        </w:rPr>
      </w:pPr>
    </w:p>
    <w:sectPr w:rsidR="002F5E23" w:rsidRPr="008D6FC5" w:rsidSect="00582358">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0F7509" w14:textId="77777777" w:rsidR="00E11FA8" w:rsidRDefault="00E11FA8">
      <w:r>
        <w:separator/>
      </w:r>
    </w:p>
  </w:endnote>
  <w:endnote w:type="continuationSeparator" w:id="0">
    <w:p w14:paraId="64B609A3" w14:textId="77777777" w:rsidR="00E11FA8" w:rsidRDefault="00E11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52EBA" w14:textId="77777777" w:rsidR="00E11FA8" w:rsidRDefault="00E11FA8">
      <w:r>
        <w:separator/>
      </w:r>
    </w:p>
  </w:footnote>
  <w:footnote w:type="continuationSeparator" w:id="0">
    <w:p w14:paraId="7F31082F" w14:textId="77777777" w:rsidR="00E11FA8" w:rsidRDefault="00E11F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4"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6"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7"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8"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1"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3"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4"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6"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7"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8"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9"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0"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3"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0"/>
        </w:tabs>
        <w:ind w:left="2947"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4"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5"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4"/>
  </w:num>
  <w:num w:numId="2">
    <w:abstractNumId w:val="10"/>
  </w:num>
  <w:num w:numId="3">
    <w:abstractNumId w:val="18"/>
  </w:num>
  <w:num w:numId="4">
    <w:abstractNumId w:val="5"/>
  </w:num>
  <w:num w:numId="5">
    <w:abstractNumId w:val="16"/>
  </w:num>
  <w:num w:numId="6">
    <w:abstractNumId w:val="36"/>
  </w:num>
  <w:num w:numId="7">
    <w:abstractNumId w:val="28"/>
  </w:num>
  <w:num w:numId="8">
    <w:abstractNumId w:val="15"/>
  </w:num>
  <w:num w:numId="9">
    <w:abstractNumId w:val="25"/>
  </w:num>
  <w:num w:numId="10">
    <w:abstractNumId w:val="26"/>
  </w:num>
  <w:num w:numId="11">
    <w:abstractNumId w:val="23"/>
  </w:num>
  <w:num w:numId="12">
    <w:abstractNumId w:val="3"/>
  </w:num>
  <w:num w:numId="13">
    <w:abstractNumId w:val="7"/>
  </w:num>
  <w:num w:numId="14">
    <w:abstractNumId w:val="1"/>
  </w:num>
  <w:num w:numId="15">
    <w:abstractNumId w:val="32"/>
  </w:num>
  <w:num w:numId="16">
    <w:abstractNumId w:val="18"/>
  </w:num>
  <w:num w:numId="17">
    <w:abstractNumId w:val="18"/>
  </w:num>
  <w:num w:numId="18">
    <w:abstractNumId w:val="14"/>
  </w:num>
  <w:num w:numId="19">
    <w:abstractNumId w:val="21"/>
  </w:num>
  <w:num w:numId="20">
    <w:abstractNumId w:val="8"/>
  </w:num>
  <w:num w:numId="21">
    <w:abstractNumId w:val="34"/>
  </w:num>
  <w:num w:numId="22">
    <w:abstractNumId w:val="27"/>
  </w:num>
  <w:num w:numId="23">
    <w:abstractNumId w:val="22"/>
  </w:num>
  <w:num w:numId="24">
    <w:abstractNumId w:val="13"/>
  </w:num>
  <w:num w:numId="25">
    <w:abstractNumId w:val="20"/>
  </w:num>
  <w:num w:numId="26">
    <w:abstractNumId w:val="30"/>
  </w:num>
  <w:num w:numId="27">
    <w:abstractNumId w:val="29"/>
  </w:num>
  <w:num w:numId="28">
    <w:abstractNumId w:val="2"/>
  </w:num>
  <w:num w:numId="29">
    <w:abstractNumId w:val="0"/>
  </w:num>
  <w:num w:numId="30">
    <w:abstractNumId w:val="19"/>
  </w:num>
  <w:num w:numId="31">
    <w:abstractNumId w:val="35"/>
  </w:num>
  <w:num w:numId="32">
    <w:abstractNumId w:val="17"/>
  </w:num>
  <w:num w:numId="33">
    <w:abstractNumId w:val="11"/>
  </w:num>
  <w:num w:numId="34">
    <w:abstractNumId w:val="6"/>
  </w:num>
  <w:num w:numId="35">
    <w:abstractNumId w:val="4"/>
  </w:num>
  <w:num w:numId="36">
    <w:abstractNumId w:val="12"/>
  </w:num>
  <w:num w:numId="37">
    <w:abstractNumId w:val="9"/>
  </w:num>
  <w:num w:numId="38">
    <w:abstractNumId w:val="31"/>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5C9E"/>
    <w:rsid w:val="00016031"/>
    <w:rsid w:val="00043242"/>
    <w:rsid w:val="00050EC0"/>
    <w:rsid w:val="00055336"/>
    <w:rsid w:val="0005645A"/>
    <w:rsid w:val="00064B2F"/>
    <w:rsid w:val="000665DB"/>
    <w:rsid w:val="00075D59"/>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6E9E"/>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4184"/>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417C"/>
    <w:rsid w:val="00403FFB"/>
    <w:rsid w:val="004111EC"/>
    <w:rsid w:val="00412C97"/>
    <w:rsid w:val="00413D86"/>
    <w:rsid w:val="004217E6"/>
    <w:rsid w:val="00422353"/>
    <w:rsid w:val="00425513"/>
    <w:rsid w:val="00431731"/>
    <w:rsid w:val="004406AD"/>
    <w:rsid w:val="004543AF"/>
    <w:rsid w:val="004578AF"/>
    <w:rsid w:val="00471428"/>
    <w:rsid w:val="00472E72"/>
    <w:rsid w:val="00484DBA"/>
    <w:rsid w:val="004B53A0"/>
    <w:rsid w:val="004B72B6"/>
    <w:rsid w:val="004D49DB"/>
    <w:rsid w:val="004E098A"/>
    <w:rsid w:val="00504EFF"/>
    <w:rsid w:val="00505299"/>
    <w:rsid w:val="00512F04"/>
    <w:rsid w:val="0052086C"/>
    <w:rsid w:val="005252AB"/>
    <w:rsid w:val="00532540"/>
    <w:rsid w:val="00547812"/>
    <w:rsid w:val="0055210A"/>
    <w:rsid w:val="00552B8F"/>
    <w:rsid w:val="005600EC"/>
    <w:rsid w:val="005635C4"/>
    <w:rsid w:val="00572CA6"/>
    <w:rsid w:val="00576571"/>
    <w:rsid w:val="00577C3E"/>
    <w:rsid w:val="005822EC"/>
    <w:rsid w:val="00582358"/>
    <w:rsid w:val="00584C17"/>
    <w:rsid w:val="0058799A"/>
    <w:rsid w:val="0059365D"/>
    <w:rsid w:val="005B4104"/>
    <w:rsid w:val="005B5733"/>
    <w:rsid w:val="005C17CA"/>
    <w:rsid w:val="005C4DC1"/>
    <w:rsid w:val="005D39F4"/>
    <w:rsid w:val="005D5441"/>
    <w:rsid w:val="005D560F"/>
    <w:rsid w:val="00606E1D"/>
    <w:rsid w:val="006139B2"/>
    <w:rsid w:val="006206AC"/>
    <w:rsid w:val="00625602"/>
    <w:rsid w:val="00644E0A"/>
    <w:rsid w:val="0064534D"/>
    <w:rsid w:val="00652848"/>
    <w:rsid w:val="00656FEA"/>
    <w:rsid w:val="00660AB1"/>
    <w:rsid w:val="0066207B"/>
    <w:rsid w:val="00663EBA"/>
    <w:rsid w:val="006651BD"/>
    <w:rsid w:val="006910F5"/>
    <w:rsid w:val="006953D2"/>
    <w:rsid w:val="006A0E36"/>
    <w:rsid w:val="006B0952"/>
    <w:rsid w:val="006B12E9"/>
    <w:rsid w:val="006B27B5"/>
    <w:rsid w:val="006C1699"/>
    <w:rsid w:val="006C418E"/>
    <w:rsid w:val="006C4EAD"/>
    <w:rsid w:val="006C52F8"/>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72B1A"/>
    <w:rsid w:val="007A0C7B"/>
    <w:rsid w:val="007B0CBE"/>
    <w:rsid w:val="0083395E"/>
    <w:rsid w:val="00845534"/>
    <w:rsid w:val="00845B5F"/>
    <w:rsid w:val="008658C8"/>
    <w:rsid w:val="0086637A"/>
    <w:rsid w:val="00877F9C"/>
    <w:rsid w:val="00885A78"/>
    <w:rsid w:val="0088758D"/>
    <w:rsid w:val="008875EA"/>
    <w:rsid w:val="00897DE3"/>
    <w:rsid w:val="008A5204"/>
    <w:rsid w:val="008B33B4"/>
    <w:rsid w:val="008D3748"/>
    <w:rsid w:val="008D6FC5"/>
    <w:rsid w:val="00902343"/>
    <w:rsid w:val="00911226"/>
    <w:rsid w:val="00913C4C"/>
    <w:rsid w:val="0091404C"/>
    <w:rsid w:val="0092699D"/>
    <w:rsid w:val="009515A6"/>
    <w:rsid w:val="0095232A"/>
    <w:rsid w:val="00953146"/>
    <w:rsid w:val="009614D2"/>
    <w:rsid w:val="0096416D"/>
    <w:rsid w:val="00966BC2"/>
    <w:rsid w:val="00971331"/>
    <w:rsid w:val="00987D15"/>
    <w:rsid w:val="00991825"/>
    <w:rsid w:val="00994EEB"/>
    <w:rsid w:val="009A49AA"/>
    <w:rsid w:val="009A58D2"/>
    <w:rsid w:val="009A789F"/>
    <w:rsid w:val="009A7EC3"/>
    <w:rsid w:val="009B1E67"/>
    <w:rsid w:val="009B34C7"/>
    <w:rsid w:val="009B53B4"/>
    <w:rsid w:val="009C0950"/>
    <w:rsid w:val="009C6EFB"/>
    <w:rsid w:val="009F09AE"/>
    <w:rsid w:val="00A045AF"/>
    <w:rsid w:val="00A05944"/>
    <w:rsid w:val="00A06581"/>
    <w:rsid w:val="00A15967"/>
    <w:rsid w:val="00A27797"/>
    <w:rsid w:val="00A34715"/>
    <w:rsid w:val="00A36A07"/>
    <w:rsid w:val="00A51149"/>
    <w:rsid w:val="00A51963"/>
    <w:rsid w:val="00A60A7F"/>
    <w:rsid w:val="00A7340F"/>
    <w:rsid w:val="00A752B9"/>
    <w:rsid w:val="00A86A40"/>
    <w:rsid w:val="00A87166"/>
    <w:rsid w:val="00AA0B27"/>
    <w:rsid w:val="00AA42C5"/>
    <w:rsid w:val="00AC5570"/>
    <w:rsid w:val="00AC737F"/>
    <w:rsid w:val="00AD09DC"/>
    <w:rsid w:val="00AE3552"/>
    <w:rsid w:val="00AE5781"/>
    <w:rsid w:val="00AE68E3"/>
    <w:rsid w:val="00B01105"/>
    <w:rsid w:val="00B026AA"/>
    <w:rsid w:val="00B07C26"/>
    <w:rsid w:val="00B108AC"/>
    <w:rsid w:val="00B11E45"/>
    <w:rsid w:val="00B159B8"/>
    <w:rsid w:val="00B26250"/>
    <w:rsid w:val="00B26404"/>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37C71"/>
    <w:rsid w:val="00D40A77"/>
    <w:rsid w:val="00D43F14"/>
    <w:rsid w:val="00D44FFD"/>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6857"/>
    <w:rsid w:val="00E11FA8"/>
    <w:rsid w:val="00E137C8"/>
    <w:rsid w:val="00E21511"/>
    <w:rsid w:val="00E33E74"/>
    <w:rsid w:val="00E42EFD"/>
    <w:rsid w:val="00E52FE8"/>
    <w:rsid w:val="00E55012"/>
    <w:rsid w:val="00E67D45"/>
    <w:rsid w:val="00E71350"/>
    <w:rsid w:val="00E86E52"/>
    <w:rsid w:val="00E87AA7"/>
    <w:rsid w:val="00E90EC5"/>
    <w:rsid w:val="00EE0BAC"/>
    <w:rsid w:val="00EE44A8"/>
    <w:rsid w:val="00EF4764"/>
    <w:rsid w:val="00EF6531"/>
    <w:rsid w:val="00F01691"/>
    <w:rsid w:val="00F10120"/>
    <w:rsid w:val="00F12A99"/>
    <w:rsid w:val="00F13E24"/>
    <w:rsid w:val="00F13E86"/>
    <w:rsid w:val="00F326DF"/>
    <w:rsid w:val="00F352A0"/>
    <w:rsid w:val="00F41F83"/>
    <w:rsid w:val="00F42F5F"/>
    <w:rsid w:val="00F514CF"/>
    <w:rsid w:val="00F53B15"/>
    <w:rsid w:val="00F55F39"/>
    <w:rsid w:val="00F60B09"/>
    <w:rsid w:val="00F613E8"/>
    <w:rsid w:val="00F70510"/>
    <w:rsid w:val="00F75A57"/>
    <w:rsid w:val="00FA28D5"/>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aliases w:val=" Char Char,3,Ctrl+1,DSG,H1,H2,H2 Char,H2 Char Char,H2 Char Char תו Char Char Char Char Char,Header 1,Heading 10,Heading 1MA,Heading 1Y1,Heading1,I,II+,Main Para,SystemLevel,X.1,Y1,b1,h1,head1,normal,כותרת 1 תו תו,כותרת הדף,רמה 1"/>
    <w:basedOn w:val="a0"/>
    <w:next w:val="a0"/>
    <w:uiPriority w:val="99"/>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LP11,LP111,LP12,LP121,LP13,LP14,LP15,List Paragraph_01,List Paragraph_1,x.x.x.x"/>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LP11 תו,LP111 תו,LP12 תו,LP121 תו,LP13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439187709">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 w:id="19049479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299</TotalTime>
  <Pages>1</Pages>
  <Words>426</Words>
  <Characters>2135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cp:lastModifiedBy>
  <cp:revision>0</cp:revision>
  <cp:lastPrinted>2024-04-08T06:21:00Z</cp:lastPrinted>
  <dcterms:created xsi:type="dcterms:W3CDTF">2024-01-18T10:48:00Z</dcterms:created>
  <dcterms:modified xsi:type="dcterms:W3CDTF">2024-01-18T10:48:00Z</dcterms:modified>
</cp:coreProperties>
</file>